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r w:rsidR="00C962F4" w:rsidRPr="00C962F4">
        <w:rPr>
          <w:b/>
          <w:color w:val="000000" w:themeColor="text1"/>
          <w:sz w:val="22"/>
          <w:szCs w:val="22"/>
          <w:shd w:val="clear" w:color="auto" w:fill="FFFFFF"/>
          <w:lang w:val="cs-CZ"/>
        </w:rPr>
        <w:t>Mateřská škola VÁŽANY, okres Vyškov, příspěvková organizace</w:t>
      </w:r>
      <w:r w:rsidR="00C962F4">
        <w:rPr>
          <w:color w:val="000000" w:themeColor="text1"/>
          <w:sz w:val="22"/>
          <w:szCs w:val="22"/>
          <w:shd w:val="clear" w:color="auto" w:fill="FFFFFF"/>
          <w:lang w:val="cs-CZ"/>
        </w:rPr>
        <w:t xml:space="preserve"> (dále jen „škola“ nebo „správce“)</w:t>
      </w:r>
      <w:r w:rsidRPr="00761840">
        <w:rPr>
          <w:color w:val="000000" w:themeColor="text1"/>
          <w:sz w:val="22"/>
          <w:szCs w:val="22"/>
          <w:shd w:val="clear" w:color="auto" w:fill="FFFFFF"/>
          <w:lang w:val="cs-CZ"/>
        </w:rPr>
        <w:t>,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C962F4" w:rsidRPr="00C962F4">
        <w:rPr>
          <w:b/>
          <w:color w:val="000000" w:themeColor="text1"/>
          <w:sz w:val="22"/>
          <w:szCs w:val="22"/>
          <w:shd w:val="clear" w:color="auto" w:fill="FFFFFF"/>
          <w:lang w:val="cs-CZ"/>
        </w:rPr>
        <w:t>Vážany č.</w:t>
      </w:r>
      <w:r w:rsidR="00C962F4">
        <w:rPr>
          <w:b/>
          <w:color w:val="000000" w:themeColor="text1"/>
          <w:sz w:val="22"/>
          <w:szCs w:val="22"/>
          <w:shd w:val="clear" w:color="auto" w:fill="FFFFFF"/>
          <w:lang w:val="cs-CZ"/>
        </w:rPr>
        <w:t xml:space="preserve"> </w:t>
      </w:r>
      <w:r w:rsidR="00C962F4" w:rsidRPr="00C962F4">
        <w:rPr>
          <w:b/>
          <w:color w:val="000000" w:themeColor="text1"/>
          <w:sz w:val="22"/>
          <w:szCs w:val="22"/>
          <w:shd w:val="clear" w:color="auto" w:fill="FFFFFF"/>
          <w:lang w:val="cs-CZ"/>
        </w:rPr>
        <w:t>32, okres Vyškov 682 01</w:t>
      </w:r>
      <w:r w:rsidRPr="00761840">
        <w:rPr>
          <w:color w:val="000000" w:themeColor="text1"/>
          <w:sz w:val="22"/>
          <w:szCs w:val="22"/>
          <w:shd w:val="clear" w:color="auto" w:fill="FFFFFF"/>
          <w:lang w:val="cs-CZ"/>
        </w:rPr>
        <w:t xml:space="preserve"> nebo nás kontaktovat prostřednictvím e-mailu </w:t>
      </w:r>
      <w:r w:rsidR="00C962F4" w:rsidRPr="00C962F4">
        <w:rPr>
          <w:b/>
          <w:color w:val="000000" w:themeColor="text1"/>
          <w:sz w:val="22"/>
          <w:szCs w:val="22"/>
          <w:shd w:val="clear" w:color="auto" w:fill="FFFFFF"/>
          <w:lang w:val="cs-CZ"/>
        </w:rPr>
        <w:t>ms.vazany@seznam.cz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proofErr w:type="spellStart"/>
      <w:r>
        <w:rPr>
          <w:color w:val="000000" w:themeColor="text1"/>
          <w:sz w:val="22"/>
          <w:szCs w:val="22"/>
          <w:shd w:val="clear" w:color="auto" w:fill="FFFFFF"/>
          <w:lang w:val="cs-CZ"/>
        </w:rPr>
        <w:t>Schola</w:t>
      </w:r>
      <w:proofErr w:type="spellEnd"/>
      <w:r>
        <w:rPr>
          <w:color w:val="000000" w:themeColor="text1"/>
          <w:sz w:val="22"/>
          <w:szCs w:val="22"/>
          <w:shd w:val="clear" w:color="auto" w:fill="FFFFFF"/>
          <w:lang w:val="cs-CZ"/>
        </w:rPr>
        <w:t xml:space="preserve"> Servis GDPR, s.r.o., se sídlem Palackého 150/8, 796 01 Prostějov, IČ: 04223748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na mob.: 732 464 854, 732 657 386, 733 281 378, email: poverenec@gdprdoskol.cz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xml:space="preserve">, a to po dobu 50 let, ledaže se jedná archiválie podle bodu 16 přílohy </w:t>
      </w:r>
      <w:proofErr w:type="gramStart"/>
      <w:r w:rsidRPr="00761840">
        <w:rPr>
          <w:color w:val="000000" w:themeColor="text1"/>
          <w:sz w:val="22"/>
          <w:szCs w:val="22"/>
          <w:shd w:val="clear" w:color="auto" w:fill="FFFFFF"/>
          <w:lang w:val="cs-CZ"/>
        </w:rPr>
        <w:t>č. 2 zákona</w:t>
      </w:r>
      <w:proofErr w:type="gramEnd"/>
      <w:r w:rsidRPr="00761840">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w:t>
      </w:r>
      <w:r w:rsidRPr="00761840">
        <w:rPr>
          <w:color w:val="000000" w:themeColor="text1"/>
          <w:sz w:val="22"/>
          <w:szCs w:val="22"/>
          <w:shd w:val="clear" w:color="auto" w:fill="FFFFFF"/>
          <w:lang w:val="cs-CZ"/>
        </w:rPr>
        <w:lastRenderedPageBreak/>
        <w:t>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Pro účely prezentace školy využíváme internetové stránky</w:t>
      </w:r>
      <w:r w:rsidR="00C962F4">
        <w:rPr>
          <w:color w:val="000000" w:themeColor="text1"/>
          <w:sz w:val="22"/>
          <w:szCs w:val="22"/>
          <w:shd w:val="clear" w:color="auto" w:fill="FFFFFF"/>
          <w:lang w:val="cs-CZ"/>
        </w:rPr>
        <w:t xml:space="preserve"> (www.msvazany.cz)</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Nejen ochrana soukromí žáků je pro nás důležitá. Dbáme zároveň ochrany jejich zdraví, bezpečí a majetku. Proto jsou v naší škole instalovány kamerové systémy, které však snímají pouze nezbytné </w:t>
      </w:r>
      <w:r w:rsidRPr="00761840">
        <w:rPr>
          <w:color w:val="000000" w:themeColor="text1"/>
          <w:sz w:val="22"/>
          <w:szCs w:val="22"/>
          <w:shd w:val="clear" w:color="auto" w:fill="FFFFFF"/>
          <w:lang w:val="cs-CZ"/>
        </w:rPr>
        <w:lastRenderedPageBreak/>
        <w:t>prostory 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8"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w:t>
      </w:r>
      <w:proofErr w:type="gramStart"/>
      <w:r w:rsidRPr="00761840">
        <w:rPr>
          <w:color w:val="000000" w:themeColor="text1"/>
          <w:sz w:val="22"/>
          <w:szCs w:val="22"/>
          <w:shd w:val="clear" w:color="auto" w:fill="FFFFFF"/>
          <w:lang w:val="cs-CZ"/>
        </w:rPr>
        <w:t>náležitou</w:t>
      </w:r>
      <w:proofErr w:type="gramEnd"/>
      <w:r w:rsidRPr="00761840">
        <w:rPr>
          <w:color w:val="000000" w:themeColor="text1"/>
          <w:sz w:val="22"/>
          <w:szCs w:val="22"/>
          <w:shd w:val="clear" w:color="auto" w:fill="FFFFFF"/>
          <w:lang w:val="cs-CZ"/>
        </w:rPr>
        <w:t xml:space="preserve">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C962F4">
        <w:rPr>
          <w:color w:val="000000" w:themeColor="text1"/>
          <w:sz w:val="22"/>
          <w:szCs w:val="22"/>
          <w:shd w:val="clear" w:color="auto" w:fill="FFFFFF"/>
          <w:lang w:val="cs-CZ"/>
        </w:rPr>
        <w:t>mail: ms.vazany@seznam.cz</w:t>
      </w:r>
      <w:bookmarkStart w:id="0" w:name="_GoBack"/>
      <w:bookmarkEnd w:id="0"/>
      <w:r w:rsidRPr="00761840">
        <w:rPr>
          <w:color w:val="000000" w:themeColor="text1"/>
          <w:sz w:val="22"/>
          <w:szCs w:val="22"/>
          <w:shd w:val="clear" w:color="auto" w:fill="FFFFFF"/>
          <w:lang w:val="cs-CZ"/>
        </w:rPr>
        <w:t xml:space="preserve"> nebo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3C" w:rsidRDefault="00C4173C" w:rsidP="00A93C47">
      <w:pPr>
        <w:spacing w:before="0" w:after="0" w:line="240" w:lineRule="auto"/>
      </w:pPr>
      <w:r>
        <w:separator/>
      </w:r>
    </w:p>
  </w:endnote>
  <w:endnote w:type="continuationSeparator" w:id="0">
    <w:p w:rsidR="00C4173C" w:rsidRDefault="00C4173C"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3C" w:rsidRDefault="00C4173C" w:rsidP="00A93C47">
      <w:pPr>
        <w:spacing w:before="0" w:after="0" w:line="240" w:lineRule="auto"/>
      </w:pPr>
      <w:r>
        <w:separator/>
      </w:r>
    </w:p>
  </w:footnote>
  <w:footnote w:type="continuationSeparator" w:id="0">
    <w:p w:rsidR="00C4173C" w:rsidRDefault="00C4173C"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47"/>
    <w:rsid w:val="0063058B"/>
    <w:rsid w:val="009E1ED2"/>
    <w:rsid w:val="00A93C47"/>
    <w:rsid w:val="00C4173C"/>
    <w:rsid w:val="00C962F4"/>
    <w:rsid w:val="00CD2BCB"/>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2431</Words>
  <Characters>14343</Characters>
  <Application>Microsoft Office Word</Application>
  <DocSecurity>0</DocSecurity>
  <Lines>119</Lines>
  <Paragraphs>33</Paragraphs>
  <ScaleCrop>false</ScaleCrop>
  <Company>Hewlett-Packard Company</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Vazany MS</cp:lastModifiedBy>
  <cp:revision>3</cp:revision>
  <dcterms:created xsi:type="dcterms:W3CDTF">2018-05-28T05:50:00Z</dcterms:created>
  <dcterms:modified xsi:type="dcterms:W3CDTF">2018-05-28T05:57:00Z</dcterms:modified>
</cp:coreProperties>
</file>